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240"/>
        <w:jc w:val="right"/>
        <w:bidi w:val="1"/>
      </w:pPr>
      <w:r>
        <w:rPr>
          <w:rFonts w:ascii="Noto Sans Arabic" w:hAnsi="Noto Sans Arabic" w:cs="Noto Sans Arabic" w:eastAsia="Noto Sans Arabic"/>
          <w:b/>
          <w:color w:val="720800"/>
          <w:sz w:val="41"/>
        </w:rPr>
        <w:t>إصلاح العلاقة بعد الصراخ والخلاف: كيف تعتذرين لطفلكِ دون أن تفقدي دوركِ التربوي</w:t>
      </w:r>
    </w:p>
    <w:p>
      <w:pPr>
        <w:spacing w:before="200" w:after="100" w:line="240" w:lineRule="auto"/>
        <w:jc w:val="right"/>
        <w:pStyle w:val="Heading2"/>
        <w:keepNext/>
        <w:bidi w:val="1"/>
        <w:pBdr>
          <w:right w:val="single" w:sz="18" w:space="7" w:color="B79B72"/>
        </w:pBdr>
      </w:pPr>
      <w:r>
        <w:rPr>
          <w:rFonts w:ascii="Noto Sans Arabic" w:hAnsi="Noto Sans Arabic" w:cs="Noto Sans Arabic" w:eastAsia="Noto Sans Arabic"/>
          <w:b/>
          <w:color w:val="720800"/>
          <w:sz w:val="29"/>
        </w:rPr>
        <w:t>وصف المورد</w:t>
      </w:r>
    </w:p>
    <w:tbl>
      <w:tblPr>
        <w:tblW w:type="auto" w:w="0"/>
        <w:jc w:val="center"/>
        <w:tblLayout w:type="autofit"/>
        <w:tblLook w:firstColumn="1" w:firstRow="1" w:lastColumn="0" w:lastRow="0" w:noHBand="0" w:noVBand="1" w:val="04A0"/>
        <w:tblBorders>
          <w:top w:val="single" w:sz="5" w:space="0" w:color="E2D5C0"/>
          <w:left w:val="single" w:sz="5" w:space="0" w:color="E2D5C0"/>
          <w:bottom w:val="single" w:sz="5" w:space="0" w:color="E2D5C0"/>
          <w:right w:val="single" w:sz="5" w:space="0" w:color="E2D5C0"/>
        </w:tblBorders>
      </w:tblPr>
      <w:tblGrid>
        <w:gridCol w:w="9866"/>
      </w:tblGrid>
      <w:tr>
        <w:tc>
          <w:tcPr>
            <w:tcW w:type="dxa" w:w="9866"/>
            <w:shd w:fill="F5F0E7"/>
            <w:tcMar>
              <w:top w:w="180" w:type="dxa"/>
              <w:start w:w="220" w:type="dxa"/>
              <w:bottom w:w="180" w:type="dxa"/>
              <w:end w:w="220" w:type="dxa"/>
            </w:tcMar>
          </w:tcPr>
          <w:p>
            <w:pPr>
              <w:spacing w:line="312" w:lineRule="auto"/>
              <w:jc w:val="right"/>
              <w:bidi w:val="1"/>
            </w:pPr>
            <w:r>
              <w:rPr>
                <w:rFonts w:ascii="Noto Naskh Arabic" w:hAnsi="Noto Naskh Arabic" w:cs="Noto Naskh Arabic" w:eastAsia="Noto Naskh Arabic"/>
                <w:color w:val="4B3B35"/>
                <w:sz w:val="23"/>
              </w:rPr>
              <w:t>إذا انتهى الموقف وهدأ البيت، لكن كلمة قاسية أو صوتًا مرتفعًا بقي بينكِ وبين طفلكِ، فهذا المورد صُمم لكِ. ستتعلمين كيف تعودين إلى الطفل بعد الخطأ، وتعتذرين عن طريقتكِ من دون تبرير، وتعيدين الأمان من دون أن تتراجعي عن الحد الصحيح أو تحمّلي الطفل مسؤولية انفعالكِ.</w:t>
            </w:r>
          </w:p>
        </w:tc>
      </w:tr>
    </w:tbl>
    <w:p>
      <w:pPr>
        <w:spacing w:after="20"/>
      </w:pPr>
    </w:p>
    <w:p>
      <w:pPr>
        <w:spacing w:before="200" w:after="100" w:line="240" w:lineRule="auto"/>
        <w:jc w:val="right"/>
        <w:pStyle w:val="Heading2"/>
        <w:keepNext/>
        <w:bidi w:val="1"/>
        <w:pBdr>
          <w:right w:val="single" w:sz="18" w:space="7" w:color="B79B72"/>
        </w:pBdr>
      </w:pPr>
      <w:r>
        <w:rPr>
          <w:rFonts w:ascii="Noto Sans Arabic" w:hAnsi="Noto Sans Arabic" w:cs="Noto Sans Arabic" w:eastAsia="Noto Sans Arabic"/>
          <w:b/>
          <w:color w:val="720800"/>
          <w:sz w:val="29"/>
        </w:rPr>
        <w:t>لمن هذا الدليل؟</w:t>
      </w:r>
    </w:p>
    <w:p>
      <w:pPr>
        <w:spacing w:after="120" w:line="307" w:lineRule="auto"/>
        <w:jc w:val="right"/>
        <w:bidi w:val="1"/>
      </w:pPr>
      <w:r>
        <w:rPr>
          <w:rFonts w:ascii="Noto Naskh Arabic" w:hAnsi="Noto Naskh Arabic" w:cs="Noto Naskh Arabic" w:eastAsia="Noto Naskh Arabic"/>
          <w:color w:val="4B3B35"/>
          <w:sz w:val="23"/>
        </w:rPr>
        <w:t>هذا المورد مناسب للأم التي تشعر بالندم بعد الصراخ، لكنها تحتار: هل تعتذر أم سيظن الطفل أن الحد انتهى؟ ماذا تقول إذا كانت غاضبة فعلًا من سلوكه؟ وكيف تصلح الموقف من دون أن تدخل في جلد طويل للذات؟</w:t>
      </w:r>
    </w:p>
    <w:p>
      <w:pPr>
        <w:spacing w:after="120" w:line="307" w:lineRule="auto"/>
        <w:jc w:val="right"/>
        <w:bidi w:val="1"/>
      </w:pPr>
      <w:r>
        <w:rPr>
          <w:rFonts w:ascii="Noto Naskh Arabic" w:hAnsi="Noto Naskh Arabic" w:cs="Noto Naskh Arabic" w:eastAsia="Noto Naskh Arabic"/>
          <w:color w:val="4B3B35"/>
          <w:sz w:val="23"/>
        </w:rPr>
        <w:t>وهو مناسب أيضًا لكل أب أو مربٍّ يريد أن يتعلم مهارة الإصلاح؛ وهي القدرة على العودة إلى العلاقة بعد الخطأ بدل ترك الطفل وحده مع الخوف أو الالتباس.</w:t>
      </w:r>
    </w:p>
    <w:p>
      <w:pPr>
        <w:spacing w:before="200" w:after="100" w:line="240" w:lineRule="auto"/>
        <w:jc w:val="right"/>
        <w:pStyle w:val="Heading2"/>
        <w:keepNext/>
        <w:bidi w:val="1"/>
        <w:pBdr>
          <w:right w:val="single" w:sz="18" w:space="7" w:color="B79B72"/>
        </w:pBdr>
      </w:pPr>
      <w:r>
        <w:rPr>
          <w:rFonts w:ascii="Noto Sans Arabic" w:hAnsi="Noto Sans Arabic" w:cs="Noto Sans Arabic" w:eastAsia="Noto Sans Arabic"/>
          <w:b/>
          <w:color w:val="720800"/>
          <w:sz w:val="29"/>
        </w:rPr>
        <w:t>ماذا ستجدين داخل الدليل؟</w:t>
      </w:r>
    </w:p>
    <w:p>
      <w:pPr>
        <w:spacing w:after="120" w:line="307" w:lineRule="auto"/>
        <w:jc w:val="right"/>
        <w:bidi w:val="1"/>
      </w:pPr>
      <w:r>
        <w:rPr>
          <w:rFonts w:ascii="Noto Naskh Arabic" w:hAnsi="Noto Naskh Arabic" w:cs="Noto Naskh Arabic" w:eastAsia="Noto Naskh Arabic"/>
          <w:color w:val="4B3B35"/>
          <w:sz w:val="23"/>
        </w:rPr>
        <w:t>ستجدين الفرق بين الاعتذار الصحي والاعتذار الذي يحمل الطفل ذنبًا جديدًا، وخطوات واضحة للإصلاح بعد الصراخ أو الإهانة أو التهديد، وطريقة الحفاظ على الحد التربوي بعد الاعتذار.</w:t>
      </w:r>
    </w:p>
    <w:p>
      <w:pPr>
        <w:spacing w:after="120" w:line="307" w:lineRule="auto"/>
        <w:jc w:val="right"/>
        <w:bidi w:val="1"/>
      </w:pPr>
      <w:r>
        <w:rPr>
          <w:rFonts w:ascii="Noto Naskh Arabic" w:hAnsi="Noto Naskh Arabic" w:cs="Noto Naskh Arabic" w:eastAsia="Noto Naskh Arabic"/>
          <w:color w:val="4B3B35"/>
          <w:sz w:val="23"/>
        </w:rPr>
        <w:t>كما يتضمن المورد عبارات جاهزة تناسب أعمارًا ومواقف مختلفة، وفي نهايته تطبيق عملي قابل للتحميل لتحليل موقف واحد، وكتابة جملة إصلاح دقيقة، ومتابعة سرعة العودة إلى الأمان خلال أسبوع.</w:t>
      </w:r>
    </w:p>
    <w:p>
      <w:pPr>
        <w:spacing w:before="200" w:after="100" w:line="240" w:lineRule="auto"/>
        <w:jc w:val="right"/>
        <w:pStyle w:val="Heading2"/>
        <w:keepNext/>
        <w:bidi w:val="1"/>
        <w:pBdr>
          <w:right w:val="single" w:sz="18" w:space="7" w:color="B79B72"/>
        </w:pBdr>
      </w:pPr>
      <w:r>
        <w:rPr>
          <w:rFonts w:ascii="Noto Sans Arabic" w:hAnsi="Noto Sans Arabic" w:cs="Noto Sans Arabic" w:eastAsia="Noto Sans Arabic"/>
          <w:b/>
          <w:color w:val="720800"/>
          <w:sz w:val="29"/>
        </w:rPr>
        <w:t>كيف يساعدك هذا المورد؟</w:t>
      </w:r>
    </w:p>
    <w:p>
      <w:pPr>
        <w:spacing w:after="120" w:line="307" w:lineRule="auto"/>
        <w:jc w:val="right"/>
        <w:bidi w:val="1"/>
      </w:pPr>
      <w:r>
        <w:rPr>
          <w:rFonts w:ascii="Noto Naskh Arabic" w:hAnsi="Noto Naskh Arabic" w:cs="Noto Naskh Arabic" w:eastAsia="Noto Naskh Arabic"/>
          <w:color w:val="4B3B35"/>
          <w:sz w:val="23"/>
        </w:rPr>
        <w:t>يساعدك على الانتقال من عبارتين مؤلمتين: «لم يحدث شيء» أو «أنا أم سيئة»، إلى مسؤولية أكثر نضجًا: «حدث خطأ، وأستطيع أن أعترف به وأصلحه وأغيّر ما أفعله في المرة القادمة».</w:t>
      </w:r>
    </w:p>
    <w:p>
      <w:pPr>
        <w:spacing w:after="120" w:line="307" w:lineRule="auto"/>
        <w:jc w:val="right"/>
        <w:bidi w:val="1"/>
      </w:pPr>
      <w:r>
        <w:rPr>
          <w:rFonts w:ascii="Noto Naskh Arabic" w:hAnsi="Noto Naskh Arabic" w:cs="Noto Naskh Arabic" w:eastAsia="Noto Naskh Arabic"/>
          <w:color w:val="4B3B35"/>
          <w:sz w:val="23"/>
        </w:rPr>
        <w:t>فالطفل لا يحتاج والدًا لا يخطئ أبدًا؛ يحتاج والدًا لا ينكر أثر خطئه، ولا يحمّله مسؤوليته، ويعود إليه بطريقة تعيد الوضوح والأمان.</w:t>
      </w:r>
    </w:p>
    <w:p>
      <w:pPr>
        <w:spacing w:before="200" w:after="100" w:line="240" w:lineRule="auto"/>
        <w:jc w:val="right"/>
        <w:pStyle w:val="Heading2"/>
        <w:keepNext/>
        <w:bidi w:val="1"/>
        <w:pBdr>
          <w:right w:val="single" w:sz="18" w:space="7" w:color="B79B72"/>
        </w:pBdr>
      </w:pPr>
      <w:r>
        <w:rPr>
          <w:rFonts w:ascii="Noto Sans Arabic" w:hAnsi="Noto Sans Arabic" w:cs="Noto Sans Arabic" w:eastAsia="Noto Sans Arabic"/>
          <w:b/>
          <w:color w:val="720800"/>
          <w:sz w:val="29"/>
        </w:rPr>
        <w:t>هل الاعتذار يضعف هيبة الوالد؟</w:t>
      </w:r>
    </w:p>
    <w:p>
      <w:pPr>
        <w:spacing w:after="120" w:line="307" w:lineRule="auto"/>
        <w:jc w:val="right"/>
        <w:bidi w:val="1"/>
      </w:pPr>
      <w:r>
        <w:rPr>
          <w:rFonts w:ascii="Noto Naskh Arabic" w:hAnsi="Noto Naskh Arabic" w:cs="Noto Naskh Arabic" w:eastAsia="Noto Naskh Arabic"/>
          <w:color w:val="4B3B35"/>
          <w:sz w:val="23"/>
        </w:rPr>
        <w:t>الاعتذار لا يضعف الهيبة عندما يكون واضحًا ولا يلغي الحد. بل يعلّم الطفل أن السلطة لا تعني العصمة، وأن المسؤولية تشمل الكبير والصغير.</w:t>
      </w:r>
    </w:p>
    <w:p>
      <w:pPr>
        <w:spacing w:after="120" w:line="307" w:lineRule="auto"/>
        <w:jc w:val="right"/>
        <w:bidi w:val="1"/>
      </w:pPr>
      <w:r>
        <w:rPr>
          <w:rFonts w:ascii="Noto Naskh Arabic" w:hAnsi="Noto Naskh Arabic" w:cs="Noto Naskh Arabic" w:eastAsia="Noto Naskh Arabic"/>
          <w:color w:val="4B3B35"/>
          <w:sz w:val="23"/>
        </w:rPr>
        <w:t>الذي يربك الطفل هو أن يعتذر الوالد ثم يقول: «لكن أنت جعلتني أصرخ». هذه الجملة تسحب الاعتذار وتعيد المسؤولية إلى الطفل. أما الاعتذار الصحي فيفصل بين أمرين: سلوك الطفل الذي يحتاج توجيهًا، وطريقة البالغ التي كانت مؤذية وتحتاج إصلاحًا.</w:t>
      </w:r>
    </w:p>
    <w:p>
      <w:pPr>
        <w:spacing w:before="200" w:after="100" w:line="240" w:lineRule="auto"/>
        <w:jc w:val="right"/>
        <w:pStyle w:val="Heading2"/>
        <w:keepNext/>
        <w:bidi w:val="1"/>
        <w:pBdr>
          <w:right w:val="single" w:sz="18" w:space="7" w:color="B79B72"/>
        </w:pBdr>
      </w:pPr>
      <w:r>
        <w:rPr>
          <w:rFonts w:ascii="Noto Sans Arabic" w:hAnsi="Noto Sans Arabic" w:cs="Noto Sans Arabic" w:eastAsia="Noto Sans Arabic"/>
          <w:b/>
          <w:color w:val="720800"/>
          <w:sz w:val="29"/>
        </w:rPr>
        <w:t>متى يحتاج الموقف إلى إصلاح واضح؟</w:t>
      </w:r>
    </w:p>
    <w:p>
      <w:pPr>
        <w:spacing w:after="120" w:line="307" w:lineRule="auto"/>
        <w:jc w:val="right"/>
        <w:bidi w:val="1"/>
      </w:pPr>
      <w:r>
        <w:rPr>
          <w:rFonts w:ascii="Noto Naskh Arabic" w:hAnsi="Noto Naskh Arabic" w:cs="Noto Naskh Arabic" w:eastAsia="Noto Naskh Arabic"/>
          <w:color w:val="4B3B35"/>
          <w:sz w:val="23"/>
        </w:rPr>
        <w:t>عندما يرتفع الصوت بطريقة أخافت الطفل، أو تُقال كلمة تقلل منه، أو يُستخدم تهديد كبير لا يناسب الموقف، أو يُسخر من مشاعره، أو يُترك طويلًا في انسحاب بارد بعد الخلاف.</w:t>
      </w:r>
    </w:p>
    <w:p>
      <w:pPr>
        <w:spacing w:after="120" w:line="307" w:lineRule="auto"/>
        <w:jc w:val="right"/>
        <w:bidi w:val="1"/>
      </w:pPr>
      <w:r>
        <w:rPr>
          <w:rFonts w:ascii="Noto Naskh Arabic" w:hAnsi="Noto Naskh Arabic" w:cs="Noto Naskh Arabic" w:eastAsia="Noto Naskh Arabic"/>
          <w:color w:val="4B3B35"/>
          <w:sz w:val="23"/>
        </w:rPr>
        <w:t>كما يحتاج الموقف إلى إصلاح عندما تلاحظين أن الطفل أصبح يتجنبكِ، أو يراقب وجهكِ بخوف، أو يحاول إرضاءكِ على حساب التعبير عما يشعر به.</w:t>
      </w:r>
    </w:p>
    <w:p>
      <w:pPr>
        <w:spacing w:before="200" w:after="100" w:line="240" w:lineRule="auto"/>
        <w:jc w:val="right"/>
        <w:pStyle w:val="Heading2"/>
        <w:keepNext/>
        <w:bidi w:val="1"/>
        <w:pBdr>
          <w:right w:val="single" w:sz="18" w:space="7" w:color="B79B72"/>
        </w:pBdr>
      </w:pPr>
      <w:r>
        <w:rPr>
          <w:rFonts w:ascii="Noto Sans Arabic" w:hAnsi="Noto Sans Arabic" w:cs="Noto Sans Arabic" w:eastAsia="Noto Sans Arabic"/>
          <w:b/>
          <w:color w:val="720800"/>
          <w:sz w:val="29"/>
        </w:rPr>
        <w:t>خطوات إصلاح العلاقة بعد الصراخ أو الخلاف</w:t>
      </w:r>
    </w:p>
    <w:tbl>
      <w:tblPr>
        <w:tblW w:type="auto" w:w="0"/>
        <w:jc w:val="center"/>
        <w:tblLook w:firstColumn="1" w:firstRow="1" w:lastColumn="0" w:lastRow="0" w:noHBand="0" w:noVBand="1" w:val="04A0"/>
        <w:tblBorders>
          <w:top w:val="single" w:sz="4" w:space="0" w:color="E7DDCF"/>
          <w:left w:val="single" w:sz="4" w:space="0" w:color="E7DDCF"/>
          <w:bottom w:val="single" w:sz="4" w:space="0" w:color="E7DDCF"/>
          <w:right w:val="single" w:sz="4" w:space="0" w:color="E7DDCF"/>
        </w:tblBorders>
      </w:tblPr>
      <w:tblGrid>
        <w:gridCol w:w="9866"/>
      </w:tblGrid>
      <w:tr>
        <w:tc>
          <w:tcPr>
            <w:tcW w:type="dxa" w:w="9866"/>
            <w:tcMar>
              <w:top w:w="115" w:type="dxa"/>
              <w:start w:w="160" w:type="dxa"/>
              <w:bottom w:w="120" w:type="dxa"/>
              <w:end w:w="160" w:type="dxa"/>
            </w:tcMar>
          </w:tcPr>
          <w:p>
            <w:pPr>
              <w:spacing w:after="60"/>
              <w:jc w:val="right"/>
              <w:bidi w:val="1"/>
            </w:pPr>
            <w:r>
              <w:rPr>
                <w:rFonts w:ascii="Noto Sans Arabic" w:hAnsi="Noto Sans Arabic" w:cs="Noto Sans Arabic" w:eastAsia="Noto Sans Arabic"/>
                <w:b/>
                <w:color w:val="720800"/>
                <w:sz w:val="23"/>
              </w:rPr>
              <w:t>1. انتظري حتى تنخفض الشحنة، لا حتى يختفي الموضوع</w:t>
            </w:r>
          </w:p>
          <w:p>
            <w:pPr>
              <w:spacing w:line="293" w:lineRule="auto" w:after="0"/>
              <w:jc w:val="right"/>
              <w:bidi w:val="1"/>
            </w:pPr>
            <w:r>
              <w:rPr>
                <w:rFonts w:ascii="Noto Naskh Arabic" w:hAnsi="Noto Naskh Arabic" w:cs="Noto Naskh Arabic" w:eastAsia="Noto Naskh Arabic"/>
                <w:color w:val="4B3B35"/>
                <w:sz w:val="22"/>
              </w:rPr>
              <w:t>لا تعودي وأنتِ ما زلتِ مستعدة للدفاع أو الجدال. خذي وقتًا قصيرًا للتهدئة، لكن لا تتركي الإصلاح لأيام وكأن شيئًا لم يحدث.</w:t>
            </w:r>
          </w:p>
        </w:tc>
      </w:tr>
    </w:tbl>
    <w:p>
      <w:pPr>
        <w:spacing w:after="0"/>
      </w:pPr>
    </w:p>
    <w:tbl>
      <w:tblPr>
        <w:tblW w:type="auto" w:w="0"/>
        <w:jc w:val="center"/>
        <w:tblLook w:firstColumn="1" w:firstRow="1" w:lastColumn="0" w:lastRow="0" w:noHBand="0" w:noVBand="1" w:val="04A0"/>
        <w:tblBorders>
          <w:top w:val="single" w:sz="4" w:space="0" w:color="E7DDCF"/>
          <w:left w:val="single" w:sz="4" w:space="0" w:color="E7DDCF"/>
          <w:bottom w:val="single" w:sz="4" w:space="0" w:color="E7DDCF"/>
          <w:right w:val="single" w:sz="4" w:space="0" w:color="E7DDCF"/>
        </w:tblBorders>
      </w:tblPr>
      <w:tblGrid>
        <w:gridCol w:w="9866"/>
      </w:tblGrid>
      <w:tr>
        <w:tc>
          <w:tcPr>
            <w:tcW w:type="dxa" w:w="9866"/>
            <w:tcMar>
              <w:top w:w="115" w:type="dxa"/>
              <w:start w:w="160" w:type="dxa"/>
              <w:bottom w:w="120" w:type="dxa"/>
              <w:end w:w="160" w:type="dxa"/>
            </w:tcMar>
          </w:tcPr>
          <w:p>
            <w:pPr>
              <w:spacing w:after="60"/>
              <w:jc w:val="right"/>
              <w:bidi w:val="1"/>
            </w:pPr>
            <w:r>
              <w:rPr>
                <w:rFonts w:ascii="Noto Sans Arabic" w:hAnsi="Noto Sans Arabic" w:cs="Noto Sans Arabic" w:eastAsia="Noto Sans Arabic"/>
                <w:b/>
                <w:color w:val="720800"/>
                <w:sz w:val="23"/>
              </w:rPr>
              <w:t>2. اقتربي من دون إجبار الطفل على التواصل</w:t>
            </w:r>
          </w:p>
          <w:p>
            <w:pPr>
              <w:spacing w:line="293" w:lineRule="auto" w:after="0"/>
              <w:jc w:val="right"/>
              <w:bidi w:val="1"/>
            </w:pPr>
            <w:r>
              <w:rPr>
                <w:rFonts w:ascii="Noto Naskh Arabic" w:hAnsi="Noto Naskh Arabic" w:cs="Noto Naskh Arabic" w:eastAsia="Noto Naskh Arabic"/>
                <w:color w:val="4B3B35"/>
                <w:sz w:val="22"/>
              </w:rPr>
              <w:t>اجلسي قريبًا، واتركي له مساحة. لا تطلبي أن ينظر في عينيكِ أو يعانقكِ. يمكنكِ قول: «أريد أن أصلح ما حدث، ويمكنك أن تسمعني من مكانك».</w:t>
            </w:r>
          </w:p>
        </w:tc>
      </w:tr>
    </w:tbl>
    <w:p>
      <w:pPr>
        <w:spacing w:after="0"/>
      </w:pPr>
    </w:p>
    <w:tbl>
      <w:tblPr>
        <w:tblW w:type="auto" w:w="0"/>
        <w:jc w:val="center"/>
        <w:tblLook w:firstColumn="1" w:firstRow="1" w:lastColumn="0" w:lastRow="0" w:noHBand="0" w:noVBand="1" w:val="04A0"/>
        <w:tblBorders>
          <w:top w:val="single" w:sz="4" w:space="0" w:color="E7DDCF"/>
          <w:left w:val="single" w:sz="4" w:space="0" w:color="E7DDCF"/>
          <w:bottom w:val="single" w:sz="4" w:space="0" w:color="E7DDCF"/>
          <w:right w:val="single" w:sz="4" w:space="0" w:color="E7DDCF"/>
        </w:tblBorders>
      </w:tblPr>
      <w:tblGrid>
        <w:gridCol w:w="9866"/>
      </w:tblGrid>
      <w:tr>
        <w:tc>
          <w:tcPr>
            <w:tcW w:type="dxa" w:w="9866"/>
            <w:tcMar>
              <w:top w:w="115" w:type="dxa"/>
              <w:start w:w="160" w:type="dxa"/>
              <w:bottom w:w="120" w:type="dxa"/>
              <w:end w:w="160" w:type="dxa"/>
            </w:tcMar>
          </w:tcPr>
          <w:p>
            <w:pPr>
              <w:spacing w:after="60"/>
              <w:jc w:val="right"/>
              <w:bidi w:val="1"/>
            </w:pPr>
            <w:r>
              <w:rPr>
                <w:rFonts w:ascii="Noto Sans Arabic" w:hAnsi="Noto Sans Arabic" w:cs="Noto Sans Arabic" w:eastAsia="Noto Sans Arabic"/>
                <w:b/>
                <w:color w:val="720800"/>
                <w:sz w:val="23"/>
              </w:rPr>
              <w:t>3. اذكري ما فعلتِ بوضوح</w:t>
            </w:r>
          </w:p>
          <w:p>
            <w:pPr>
              <w:spacing w:line="293" w:lineRule="auto" w:after="0"/>
              <w:jc w:val="right"/>
              <w:bidi w:val="1"/>
            </w:pPr>
            <w:r>
              <w:rPr>
                <w:rFonts w:ascii="Noto Naskh Arabic" w:hAnsi="Noto Naskh Arabic" w:cs="Noto Naskh Arabic" w:eastAsia="Noto Naskh Arabic"/>
                <w:color w:val="4B3B35"/>
                <w:sz w:val="22"/>
              </w:rPr>
              <w:t>قولي: «صوتي ارتفع وقلت لك كلمة جارحة». تجنبي العبارات الغامضة مثل: «آسفة على أي شيء أزعجك»، لأنها لا تُظهر أنكِ فهمتِ الخطأ.</w:t>
            </w:r>
          </w:p>
        </w:tc>
      </w:tr>
    </w:tbl>
    <w:p>
      <w:pPr>
        <w:spacing w:after="0"/>
      </w:pPr>
    </w:p>
    <w:tbl>
      <w:tblPr>
        <w:tblW w:type="auto" w:w="0"/>
        <w:jc w:val="center"/>
        <w:tblLook w:firstColumn="1" w:firstRow="1" w:lastColumn="0" w:lastRow="0" w:noHBand="0" w:noVBand="1" w:val="04A0"/>
        <w:tblBorders>
          <w:top w:val="single" w:sz="4" w:space="0" w:color="E7DDCF"/>
          <w:left w:val="single" w:sz="4" w:space="0" w:color="E7DDCF"/>
          <w:bottom w:val="single" w:sz="4" w:space="0" w:color="E7DDCF"/>
          <w:right w:val="single" w:sz="4" w:space="0" w:color="E7DDCF"/>
        </w:tblBorders>
      </w:tblPr>
      <w:tblGrid>
        <w:gridCol w:w="9866"/>
      </w:tblGrid>
      <w:tr>
        <w:tc>
          <w:tcPr>
            <w:tcW w:type="dxa" w:w="9866"/>
            <w:tcMar>
              <w:top w:w="115" w:type="dxa"/>
              <w:start w:w="160" w:type="dxa"/>
              <w:bottom w:w="120" w:type="dxa"/>
              <w:end w:w="160" w:type="dxa"/>
            </w:tcMar>
          </w:tcPr>
          <w:p>
            <w:pPr>
              <w:spacing w:after="60"/>
              <w:jc w:val="right"/>
              <w:bidi w:val="1"/>
            </w:pPr>
            <w:r>
              <w:rPr>
                <w:rFonts w:ascii="Noto Sans Arabic" w:hAnsi="Noto Sans Arabic" w:cs="Noto Sans Arabic" w:eastAsia="Noto Sans Arabic"/>
                <w:b/>
                <w:color w:val="720800"/>
                <w:sz w:val="23"/>
              </w:rPr>
              <w:t>4. تحملي مسؤولية طريقتكِ بلا لكن</w:t>
            </w:r>
          </w:p>
          <w:p>
            <w:pPr>
              <w:spacing w:line="293" w:lineRule="auto" w:after="0"/>
              <w:jc w:val="right"/>
              <w:bidi w:val="1"/>
            </w:pPr>
            <w:r>
              <w:rPr>
                <w:rFonts w:ascii="Noto Naskh Arabic" w:hAnsi="Noto Naskh Arabic" w:cs="Noto Naskh Arabic" w:eastAsia="Noto Naskh Arabic"/>
                <w:color w:val="4B3B35"/>
                <w:sz w:val="22"/>
              </w:rPr>
              <w:t>قولي: «كان مسؤوليتي أن أوقف نفسي وأتكلم بطريقة آمنة». لا تضيفي بعدها: «لكن لو أنك سمعت الكلام…». يمكن مناقشة سلوك الطفل لاحقًا، أما لحظة الإصلاح فهدفها إعادة الأمان.</w:t>
            </w:r>
          </w:p>
        </w:tc>
      </w:tr>
    </w:tbl>
    <w:p>
      <w:pPr>
        <w:spacing w:after="0"/>
      </w:pPr>
    </w:p>
    <w:tbl>
      <w:tblPr>
        <w:tblW w:type="auto" w:w="0"/>
        <w:jc w:val="center"/>
        <w:tblLook w:firstColumn="1" w:firstRow="1" w:lastColumn="0" w:lastRow="0" w:noHBand="0" w:noVBand="1" w:val="04A0"/>
        <w:tblBorders>
          <w:top w:val="single" w:sz="4" w:space="0" w:color="E7DDCF"/>
          <w:left w:val="single" w:sz="4" w:space="0" w:color="E7DDCF"/>
          <w:bottom w:val="single" w:sz="4" w:space="0" w:color="E7DDCF"/>
          <w:right w:val="single" w:sz="4" w:space="0" w:color="E7DDCF"/>
        </w:tblBorders>
      </w:tblPr>
      <w:tblGrid>
        <w:gridCol w:w="9866"/>
      </w:tblGrid>
      <w:tr>
        <w:tc>
          <w:tcPr>
            <w:tcW w:type="dxa" w:w="9866"/>
            <w:tcMar>
              <w:top w:w="115" w:type="dxa"/>
              <w:start w:w="160" w:type="dxa"/>
              <w:bottom w:w="120" w:type="dxa"/>
              <w:end w:w="160" w:type="dxa"/>
            </w:tcMar>
          </w:tcPr>
          <w:p>
            <w:pPr>
              <w:spacing w:after="60"/>
              <w:jc w:val="right"/>
              <w:bidi w:val="1"/>
            </w:pPr>
            <w:r>
              <w:rPr>
                <w:rFonts w:ascii="Noto Sans Arabic" w:hAnsi="Noto Sans Arabic" w:cs="Noto Sans Arabic" w:eastAsia="Noto Sans Arabic"/>
                <w:b/>
                <w:color w:val="720800"/>
                <w:sz w:val="23"/>
              </w:rPr>
              <w:t>5. سمي الأثر المحتمل واتركي للطفل حق التصحيح</w:t>
            </w:r>
          </w:p>
          <w:p>
            <w:pPr>
              <w:spacing w:line="293" w:lineRule="auto" w:after="0"/>
              <w:jc w:val="right"/>
              <w:bidi w:val="1"/>
            </w:pPr>
            <w:r>
              <w:rPr>
                <w:rFonts w:ascii="Noto Naskh Arabic" w:hAnsi="Noto Naskh Arabic" w:cs="Noto Naskh Arabic" w:eastAsia="Noto Naskh Arabic"/>
                <w:color w:val="4B3B35"/>
                <w:sz w:val="22"/>
              </w:rPr>
              <w:t>قولي: «ربما أخافك صوتي أو جعلك تشعر أنني لا أسمعك». إذا قال إن الأثر كان مختلفًا، استمعي. لا تفرضي عليه شعورًا معينًا.</w:t>
            </w:r>
          </w:p>
        </w:tc>
      </w:tr>
    </w:tbl>
    <w:p>
      <w:pPr>
        <w:spacing w:after="0"/>
      </w:pPr>
    </w:p>
    <w:tbl>
      <w:tblPr>
        <w:tblW w:type="auto" w:w="0"/>
        <w:jc w:val="center"/>
        <w:tblLook w:firstColumn="1" w:firstRow="1" w:lastColumn="0" w:lastRow="0" w:noHBand="0" w:noVBand="1" w:val="04A0"/>
        <w:tblBorders>
          <w:top w:val="single" w:sz="4" w:space="0" w:color="E7DDCF"/>
          <w:left w:val="single" w:sz="4" w:space="0" w:color="E7DDCF"/>
          <w:bottom w:val="single" w:sz="4" w:space="0" w:color="E7DDCF"/>
          <w:right w:val="single" w:sz="4" w:space="0" w:color="E7DDCF"/>
        </w:tblBorders>
      </w:tblPr>
      <w:tblGrid>
        <w:gridCol w:w="9866"/>
      </w:tblGrid>
      <w:tr>
        <w:tc>
          <w:tcPr>
            <w:tcW w:type="dxa" w:w="9866"/>
            <w:tcMar>
              <w:top w:w="115" w:type="dxa"/>
              <w:start w:w="160" w:type="dxa"/>
              <w:bottom w:w="120" w:type="dxa"/>
              <w:end w:w="160" w:type="dxa"/>
            </w:tcMar>
          </w:tcPr>
          <w:p>
            <w:pPr>
              <w:spacing w:after="60"/>
              <w:jc w:val="right"/>
              <w:bidi w:val="1"/>
            </w:pPr>
            <w:r>
              <w:rPr>
                <w:rFonts w:ascii="Noto Sans Arabic" w:hAnsi="Noto Sans Arabic" w:cs="Noto Sans Arabic" w:eastAsia="Noto Sans Arabic"/>
                <w:b/>
                <w:color w:val="720800"/>
                <w:sz w:val="23"/>
              </w:rPr>
              <w:t>6. أكدي الحد بطريقة منفصلة</w:t>
            </w:r>
          </w:p>
          <w:p>
            <w:pPr>
              <w:spacing w:line="293" w:lineRule="auto" w:after="0"/>
              <w:jc w:val="right"/>
              <w:bidi w:val="1"/>
            </w:pPr>
            <w:r>
              <w:rPr>
                <w:rFonts w:ascii="Noto Naskh Arabic" w:hAnsi="Noto Naskh Arabic" w:cs="Noto Naskh Arabic" w:eastAsia="Noto Naskh Arabic"/>
                <w:color w:val="4B3B35"/>
                <w:sz w:val="22"/>
              </w:rPr>
              <w:t>إذا كان الحد صحيحًا فقولي: «أعتذر عن الصراخ، والضرب ما زال غير مقبول». هكذا يتعلم الطفل أن الاعتذار عن الطريقة لا يعني التراجع عن المسؤولية.</w:t>
            </w:r>
          </w:p>
        </w:tc>
      </w:tr>
    </w:tbl>
    <w:p>
      <w:pPr>
        <w:spacing w:after="0"/>
      </w:pPr>
    </w:p>
    <w:tbl>
      <w:tblPr>
        <w:tblW w:type="auto" w:w="0"/>
        <w:jc w:val="center"/>
        <w:tblLook w:firstColumn="1" w:firstRow="1" w:lastColumn="0" w:lastRow="0" w:noHBand="0" w:noVBand="1" w:val="04A0"/>
        <w:tblBorders>
          <w:top w:val="single" w:sz="4" w:space="0" w:color="E7DDCF"/>
          <w:left w:val="single" w:sz="4" w:space="0" w:color="E7DDCF"/>
          <w:bottom w:val="single" w:sz="4" w:space="0" w:color="E7DDCF"/>
          <w:right w:val="single" w:sz="4" w:space="0" w:color="E7DDCF"/>
        </w:tblBorders>
      </w:tblPr>
      <w:tblGrid>
        <w:gridCol w:w="9866"/>
      </w:tblGrid>
      <w:tr>
        <w:tc>
          <w:tcPr>
            <w:tcW w:type="dxa" w:w="9866"/>
            <w:tcMar>
              <w:top w:w="115" w:type="dxa"/>
              <w:start w:w="160" w:type="dxa"/>
              <w:bottom w:w="120" w:type="dxa"/>
              <w:end w:w="160" w:type="dxa"/>
            </w:tcMar>
          </w:tcPr>
          <w:p>
            <w:pPr>
              <w:spacing w:after="60"/>
              <w:jc w:val="right"/>
              <w:bidi w:val="1"/>
            </w:pPr>
            <w:r>
              <w:rPr>
                <w:rFonts w:ascii="Noto Sans Arabic" w:hAnsi="Noto Sans Arabic" w:cs="Noto Sans Arabic" w:eastAsia="Noto Sans Arabic"/>
                <w:b/>
                <w:color w:val="720800"/>
                <w:sz w:val="23"/>
              </w:rPr>
              <w:t>7. قدمي تغييرًا يمكن ملاحظته</w:t>
            </w:r>
          </w:p>
          <w:p>
            <w:pPr>
              <w:spacing w:line="293" w:lineRule="auto" w:after="0"/>
              <w:jc w:val="right"/>
              <w:bidi w:val="1"/>
            </w:pPr>
            <w:r>
              <w:rPr>
                <w:rFonts w:ascii="Noto Naskh Arabic" w:hAnsi="Noto Naskh Arabic" w:cs="Noto Naskh Arabic" w:eastAsia="Noto Naskh Arabic"/>
                <w:color w:val="4B3B35"/>
                <w:sz w:val="22"/>
              </w:rPr>
              <w:t>قولي ما ستفعلينه في المرة القادمة: «سأتوقف دقيقة قبل أن أتكلم»، أو «سأعطيك طلبًا واحدًا بدل الصراخ من الغرفة». ثم اثبتي ذلك بالفعل.</w:t>
            </w:r>
          </w:p>
        </w:tc>
      </w:tr>
    </w:tbl>
    <w:p>
      <w:pPr>
        <w:spacing w:after="0"/>
      </w:pPr>
    </w:p>
    <w:tbl>
      <w:tblPr>
        <w:tblW w:type="auto" w:w="0"/>
        <w:jc w:val="center"/>
        <w:tblLook w:firstColumn="1" w:firstRow="1" w:lastColumn="0" w:lastRow="0" w:noHBand="0" w:noVBand="1" w:val="04A0"/>
        <w:tblBorders>
          <w:top w:val="single" w:sz="4" w:space="0" w:color="E7DDCF"/>
          <w:left w:val="single" w:sz="4" w:space="0" w:color="E7DDCF"/>
          <w:bottom w:val="single" w:sz="4" w:space="0" w:color="E7DDCF"/>
          <w:right w:val="single" w:sz="4" w:space="0" w:color="E7DDCF"/>
        </w:tblBorders>
      </w:tblPr>
      <w:tblGrid>
        <w:gridCol w:w="9866"/>
      </w:tblGrid>
      <w:tr>
        <w:tc>
          <w:tcPr>
            <w:tcW w:type="dxa" w:w="9866"/>
            <w:tcMar>
              <w:top w:w="115" w:type="dxa"/>
              <w:start w:w="160" w:type="dxa"/>
              <w:bottom w:w="120" w:type="dxa"/>
              <w:end w:w="160" w:type="dxa"/>
            </w:tcMar>
          </w:tcPr>
          <w:p>
            <w:pPr>
              <w:spacing w:after="60"/>
              <w:jc w:val="right"/>
              <w:bidi w:val="1"/>
            </w:pPr>
            <w:r>
              <w:rPr>
                <w:rFonts w:ascii="Noto Sans Arabic" w:hAnsi="Noto Sans Arabic" w:cs="Noto Sans Arabic" w:eastAsia="Noto Sans Arabic"/>
                <w:b/>
                <w:color w:val="720800"/>
                <w:sz w:val="23"/>
              </w:rPr>
              <w:t>8. لا تطلبي المسامحة الفورية</w:t>
            </w:r>
          </w:p>
          <w:p>
            <w:pPr>
              <w:spacing w:line="293" w:lineRule="auto" w:after="0"/>
              <w:jc w:val="right"/>
              <w:bidi w:val="1"/>
            </w:pPr>
            <w:r>
              <w:rPr>
                <w:rFonts w:ascii="Noto Naskh Arabic" w:hAnsi="Noto Naskh Arabic" w:cs="Noto Naskh Arabic" w:eastAsia="Noto Naskh Arabic"/>
                <w:color w:val="4B3B35"/>
                <w:sz w:val="22"/>
              </w:rPr>
              <w:t>قد يحتاج الطفل وقتًا، وقد يبقى منزعجًا. هدف الاعتذار ليس أن يريحكِ فورًا، بل أن يتحمل الطفل أقل قدر ممكن من الأثر وأن يرى أنكِ مسؤولة عن إصلاحه.</w:t>
            </w:r>
          </w:p>
        </w:tc>
      </w:tr>
    </w:tbl>
    <w:p>
      <w:pPr>
        <w:spacing w:after="0"/>
      </w:pPr>
    </w:p>
    <w:p>
      <w:pPr>
        <w:spacing w:before="200" w:after="100" w:line="240" w:lineRule="auto"/>
        <w:jc w:val="right"/>
        <w:pStyle w:val="Heading2"/>
        <w:keepNext/>
        <w:bidi w:val="1"/>
        <w:pBdr>
          <w:right w:val="single" w:sz="18" w:space="7" w:color="B79B72"/>
        </w:pBdr>
      </w:pPr>
      <w:r>
        <w:rPr>
          <w:rFonts w:ascii="Noto Sans Arabic" w:hAnsi="Noto Sans Arabic" w:cs="Noto Sans Arabic" w:eastAsia="Noto Sans Arabic"/>
          <w:b/>
          <w:color w:val="720800"/>
          <w:sz w:val="29"/>
        </w:rPr>
        <w:t>معادلة إصلاح بسيطة في خمس جمل</w:t>
      </w:r>
    </w:p>
    <w:tbl>
      <w:tblPr>
        <w:tblW w:type="auto" w:w="0"/>
        <w:jc w:val="center"/>
        <w:tblLayout w:type="autofit"/>
        <w:tblLook w:firstColumn="1" w:firstRow="1" w:lastColumn="0" w:lastRow="0" w:noHBand="0" w:noVBand="1" w:val="04A0"/>
        <w:tblBorders>
          <w:top w:val="single" w:sz="4" w:space="0" w:color="D7C8B1"/>
          <w:left w:val="single" w:sz="4" w:space="0" w:color="D7C8B1"/>
          <w:bottom w:val="single" w:sz="4" w:space="0" w:color="D7C8B1"/>
          <w:right w:val="single" w:sz="4" w:space="0" w:color="D7C8B1"/>
          <w:insideH w:val="single" w:sz="4" w:space="0" w:color="D7C8B1"/>
          <w:insideV w:val="single" w:sz="4" w:space="0" w:color="D7C8B1"/>
        </w:tblBorders>
      </w:tblPr>
      <w:tblGrid>
        <w:gridCol w:w="4933"/>
        <w:gridCol w:w="4933"/>
      </w:tblGrid>
      <w:tr>
        <w:tc>
          <w:tcPr>
            <w:tcW w:type="dxa" w:w="4933"/>
            <w:tcMar>
              <w:top w:w="125" w:type="dxa"/>
              <w:start w:w="150" w:type="dxa"/>
              <w:bottom w:w="125" w:type="dxa"/>
              <w:end w:w="150" w:type="dxa"/>
            </w:tcMar>
            <w:vAlign w:val="center"/>
          </w:tcPr>
          <w:p>
            <w:pPr>
              <w:spacing w:after="0"/>
              <w:jc w:val="center"/>
              <w:bidi w:val="1"/>
            </w:pPr>
            <w:r>
              <w:rPr>
                <w:rFonts w:ascii="Noto Naskh Arabic" w:hAnsi="Noto Naskh Arabic" w:cs="Noto Naskh Arabic" w:eastAsia="Noto Naskh Arabic"/>
                <w:color w:val="720800"/>
                <w:sz w:val="21"/>
              </w:rPr>
              <w:t>«صوتي ارتفع وقلت كلامًا جارحًا.»</w:t>
            </w:r>
          </w:p>
        </w:tc>
        <w:tc>
          <w:tcPr>
            <w:tcW w:type="dxa" w:w="4933"/>
            <w:tcMar>
              <w:top w:w="125" w:type="dxa"/>
              <w:start w:w="150" w:type="dxa"/>
              <w:bottom w:w="125" w:type="dxa"/>
              <w:end w:w="150" w:type="dxa"/>
            </w:tcMar>
            <w:vAlign w:val="center"/>
          </w:tcPr>
          <w:p>
            <w:pPr>
              <w:spacing w:after="0"/>
              <w:jc w:val="center"/>
              <w:bidi w:val="1"/>
            </w:pPr>
            <w:r>
              <w:rPr>
                <w:rFonts w:ascii="Noto Naskh Arabic" w:hAnsi="Noto Naskh Arabic" w:cs="Noto Naskh Arabic" w:eastAsia="Noto Naskh Arabic"/>
                <w:color w:val="720800"/>
                <w:sz w:val="21"/>
              </w:rPr>
              <w:t>«هذا كان خطأ مني، ومسؤوليتي أن أتكلم بطريقة آمنة.»</w:t>
            </w:r>
          </w:p>
        </w:tc>
      </w:tr>
      <w:tr>
        <w:tc>
          <w:tcPr>
            <w:tcW w:type="dxa" w:w="4933"/>
            <w:tcMar>
              <w:top w:w="125" w:type="dxa"/>
              <w:start w:w="150" w:type="dxa"/>
              <w:bottom w:w="125" w:type="dxa"/>
              <w:end w:w="150" w:type="dxa"/>
            </w:tcMar>
            <w:vAlign w:val="center"/>
          </w:tcPr>
          <w:p>
            <w:pPr>
              <w:spacing w:after="0"/>
              <w:jc w:val="center"/>
              <w:bidi w:val="1"/>
            </w:pPr>
            <w:r>
              <w:rPr>
                <w:rFonts w:ascii="Noto Naskh Arabic" w:hAnsi="Noto Naskh Arabic" w:cs="Noto Naskh Arabic" w:eastAsia="Noto Naskh Arabic"/>
                <w:color w:val="720800"/>
                <w:sz w:val="21"/>
              </w:rPr>
              <w:t>«أتخيل أن ذلك أخافك أو جعلك تشعر أنني لا أسمعك.»</w:t>
            </w:r>
          </w:p>
        </w:tc>
        <w:tc>
          <w:tcPr>
            <w:tcW w:type="dxa" w:w="4933"/>
            <w:tcMar>
              <w:top w:w="125" w:type="dxa"/>
              <w:start w:w="150" w:type="dxa"/>
              <w:bottom w:w="125" w:type="dxa"/>
              <w:end w:w="150" w:type="dxa"/>
            </w:tcMar>
            <w:vAlign w:val="center"/>
          </w:tcPr>
          <w:p>
            <w:pPr>
              <w:spacing w:after="0"/>
              <w:jc w:val="center"/>
              <w:bidi w:val="1"/>
            </w:pPr>
            <w:r>
              <w:rPr>
                <w:rFonts w:ascii="Noto Naskh Arabic" w:hAnsi="Noto Naskh Arabic" w:cs="Noto Naskh Arabic" w:eastAsia="Noto Naskh Arabic"/>
                <w:color w:val="720800"/>
                <w:sz w:val="21"/>
              </w:rPr>
              <w:t>«الحد ما زال موجودًا: الضرب غير مقبول.»</w:t>
            </w:r>
          </w:p>
        </w:tc>
      </w:tr>
      <w:tr>
        <w:tc>
          <w:tcPr>
            <w:tcW w:type="dxa" w:w="4933"/>
            <w:tcMar>
              <w:top w:w="125" w:type="dxa"/>
              <w:start w:w="150" w:type="dxa"/>
              <w:bottom w:w="125" w:type="dxa"/>
              <w:end w:w="150" w:type="dxa"/>
            </w:tcMar>
            <w:vAlign w:val="center"/>
          </w:tcPr>
          <w:p>
            <w:pPr>
              <w:spacing w:after="0"/>
              <w:jc w:val="center"/>
              <w:bidi w:val="1"/>
            </w:pPr>
            <w:r>
              <w:rPr>
                <w:rFonts w:ascii="Noto Naskh Arabic" w:hAnsi="Noto Naskh Arabic" w:cs="Noto Naskh Arabic" w:eastAsia="Noto Naskh Arabic"/>
                <w:color w:val="720800"/>
                <w:sz w:val="21"/>
              </w:rPr>
              <w:t>«في المرة القادمة سأتوقف دقيقة، ثم سأقول لك ما أحتاجه بهدوء.»</w:t>
            </w:r>
          </w:p>
        </w:tc>
        <w:tc>
          <w:tcPr>
            <w:tcW w:type="dxa" w:w="4933"/>
            <w:tcMar>
              <w:top w:w="125" w:type="dxa"/>
              <w:start w:w="150" w:type="dxa"/>
              <w:bottom w:w="125" w:type="dxa"/>
              <w:end w:w="150" w:type="dxa"/>
            </w:tcMar>
            <w:vAlign w:val="center"/>
          </w:tcPr>
          <w:p>
            <w:pPr>
              <w:spacing w:after="0"/>
              <w:jc w:val="center"/>
              <w:bidi w:val="1"/>
            </w:pPr>
          </w:p>
        </w:tc>
      </w:tr>
    </w:tbl>
    <w:p>
      <w:pPr>
        <w:spacing w:after="0"/>
      </w:pPr>
    </w:p>
    <w:p>
      <w:pPr>
        <w:spacing w:before="200" w:after="100" w:line="240" w:lineRule="auto"/>
        <w:jc w:val="right"/>
        <w:pStyle w:val="Heading2"/>
        <w:keepNext/>
        <w:bidi w:val="1"/>
        <w:pBdr>
          <w:right w:val="single" w:sz="18" w:space="7" w:color="B79B72"/>
        </w:pBdr>
      </w:pPr>
      <w:r>
        <w:rPr>
          <w:rFonts w:ascii="Noto Sans Arabic" w:hAnsi="Noto Sans Arabic" w:cs="Noto Sans Arabic" w:eastAsia="Noto Sans Arabic"/>
          <w:b/>
          <w:color w:val="720800"/>
          <w:sz w:val="29"/>
        </w:rPr>
        <w:t>عبارات جاهزة لمواقف مختلفة</w:t>
      </w:r>
    </w:p>
    <w:tbl>
      <w:tblPr>
        <w:tblW w:type="auto" w:w="0"/>
        <w:jc w:val="center"/>
        <w:tblLayout w:type="autofit"/>
        <w:tblLook w:firstColumn="1" w:firstRow="1" w:lastColumn="0" w:lastRow="0" w:noHBand="0" w:noVBand="1" w:val="04A0"/>
        <w:tblBorders>
          <w:top w:val="single" w:sz="4" w:space="0" w:color="D7C8B1"/>
          <w:left w:val="single" w:sz="4" w:space="0" w:color="D7C8B1"/>
          <w:bottom w:val="single" w:sz="4" w:space="0" w:color="D7C8B1"/>
          <w:right w:val="single" w:sz="4" w:space="0" w:color="D7C8B1"/>
          <w:insideH w:val="single" w:sz="4" w:space="0" w:color="D7C8B1"/>
          <w:insideV w:val="single" w:sz="4" w:space="0" w:color="D7C8B1"/>
        </w:tblBorders>
      </w:tblPr>
      <w:tblGrid>
        <w:gridCol w:w="4933"/>
        <w:gridCol w:w="4933"/>
      </w:tblGrid>
      <w:tr>
        <w:tc>
          <w:tcPr>
            <w:tcW w:type="dxa" w:w="4933"/>
            <w:tcMar>
              <w:top w:w="125" w:type="dxa"/>
              <w:start w:w="150" w:type="dxa"/>
              <w:bottom w:w="125" w:type="dxa"/>
              <w:end w:w="150" w:type="dxa"/>
            </w:tcMar>
            <w:vAlign w:val="center"/>
          </w:tcPr>
          <w:p>
            <w:pPr>
              <w:spacing w:after="0"/>
              <w:jc w:val="center"/>
              <w:bidi w:val="1"/>
            </w:pPr>
            <w:r>
              <w:rPr>
                <w:rFonts w:ascii="Noto Naskh Arabic" w:hAnsi="Noto Naskh Arabic" w:cs="Noto Naskh Arabic" w:eastAsia="Noto Naskh Arabic"/>
                <w:color w:val="720800"/>
                <w:sz w:val="21"/>
              </w:rPr>
              <w:t>بعد رفع الصوت: «صوتي كان أعلى مما ينبغي، ولم يكن من حقّي أن أخيفك كي تنفذ.»</w:t>
            </w:r>
          </w:p>
        </w:tc>
        <w:tc>
          <w:tcPr>
            <w:tcW w:type="dxa" w:w="4933"/>
            <w:tcMar>
              <w:top w:w="125" w:type="dxa"/>
              <w:start w:w="150" w:type="dxa"/>
              <w:bottom w:w="125" w:type="dxa"/>
              <w:end w:w="150" w:type="dxa"/>
            </w:tcMar>
            <w:vAlign w:val="center"/>
          </w:tcPr>
          <w:p>
            <w:pPr>
              <w:spacing w:after="0"/>
              <w:jc w:val="center"/>
              <w:bidi w:val="1"/>
            </w:pPr>
            <w:r>
              <w:rPr>
                <w:rFonts w:ascii="Noto Naskh Arabic" w:hAnsi="Noto Naskh Arabic" w:cs="Noto Naskh Arabic" w:eastAsia="Noto Naskh Arabic"/>
                <w:color w:val="720800"/>
                <w:sz w:val="21"/>
              </w:rPr>
              <w:t>بعد كلمة جارحة: «وصفتك بكلمة لا تليق بك، وأنا أعتذر عنها. السلوك يحتاج تعديلًا، لكن أنت لست هذا الوصف.»</w:t>
            </w:r>
          </w:p>
        </w:tc>
      </w:tr>
      <w:tr>
        <w:tc>
          <w:tcPr>
            <w:tcW w:type="dxa" w:w="4933"/>
            <w:tcMar>
              <w:top w:w="125" w:type="dxa"/>
              <w:start w:w="150" w:type="dxa"/>
              <w:bottom w:w="125" w:type="dxa"/>
              <w:end w:w="150" w:type="dxa"/>
            </w:tcMar>
            <w:vAlign w:val="center"/>
          </w:tcPr>
          <w:p>
            <w:pPr>
              <w:spacing w:after="0"/>
              <w:jc w:val="center"/>
              <w:bidi w:val="1"/>
            </w:pPr>
            <w:r>
              <w:rPr>
                <w:rFonts w:ascii="Noto Naskh Arabic" w:hAnsi="Noto Naskh Arabic" w:cs="Noto Naskh Arabic" w:eastAsia="Noto Naskh Arabic"/>
                <w:color w:val="720800"/>
                <w:sz w:val="21"/>
              </w:rPr>
              <w:t>بعد تهديد مبالغ: «هددتك بعقوبة كبيرة وأنا غاضبة. سأضع نتيجة واقعية بدل التهديد.»</w:t>
            </w:r>
          </w:p>
        </w:tc>
        <w:tc>
          <w:tcPr>
            <w:tcW w:type="dxa" w:w="4933"/>
            <w:tcMar>
              <w:top w:w="125" w:type="dxa"/>
              <w:start w:w="150" w:type="dxa"/>
              <w:bottom w:w="125" w:type="dxa"/>
              <w:end w:w="150" w:type="dxa"/>
            </w:tcMar>
            <w:vAlign w:val="center"/>
          </w:tcPr>
          <w:p>
            <w:pPr>
              <w:spacing w:after="0"/>
              <w:jc w:val="center"/>
              <w:bidi w:val="1"/>
            </w:pPr>
            <w:r>
              <w:rPr>
                <w:rFonts w:ascii="Noto Naskh Arabic" w:hAnsi="Noto Naskh Arabic" w:cs="Noto Naskh Arabic" w:eastAsia="Noto Naskh Arabic"/>
                <w:color w:val="720800"/>
                <w:sz w:val="21"/>
              </w:rPr>
              <w:t>بعد الانسحاب البارد: «ابتعدت طويلًا من دون أن أوضح لك، وكان الأفضل أن أقول إنني أحتاج وقتًا وسأعود.»</w:t>
            </w:r>
          </w:p>
        </w:tc>
      </w:tr>
      <w:tr>
        <w:tc>
          <w:tcPr>
            <w:tcW w:type="dxa" w:w="4933"/>
            <w:tcMar>
              <w:top w:w="125" w:type="dxa"/>
              <w:start w:w="150" w:type="dxa"/>
              <w:bottom w:w="125" w:type="dxa"/>
              <w:end w:w="150" w:type="dxa"/>
            </w:tcMar>
            <w:vAlign w:val="center"/>
          </w:tcPr>
          <w:p>
            <w:pPr>
              <w:spacing w:after="0"/>
              <w:jc w:val="center"/>
              <w:bidi w:val="1"/>
            </w:pPr>
            <w:r>
              <w:rPr>
                <w:rFonts w:ascii="Noto Naskh Arabic" w:hAnsi="Noto Naskh Arabic" w:cs="Noto Naskh Arabic" w:eastAsia="Noto Naskh Arabic"/>
                <w:color w:val="720800"/>
                <w:sz w:val="21"/>
              </w:rPr>
              <w:t>مع طفل صغير: «ماما صرخت وصوتها أخافك. هذا خطأ. سأستخدم صوتًا أهدأ.»</w:t>
            </w:r>
          </w:p>
        </w:tc>
        <w:tc>
          <w:tcPr>
            <w:tcW w:type="dxa" w:w="4933"/>
            <w:tcMar>
              <w:top w:w="125" w:type="dxa"/>
              <w:start w:w="150" w:type="dxa"/>
              <w:bottom w:w="125" w:type="dxa"/>
              <w:end w:w="150" w:type="dxa"/>
            </w:tcMar>
            <w:vAlign w:val="center"/>
          </w:tcPr>
          <w:p>
            <w:pPr>
              <w:spacing w:after="0"/>
              <w:jc w:val="center"/>
              <w:bidi w:val="1"/>
            </w:pPr>
            <w:r>
              <w:rPr>
                <w:rFonts w:ascii="Noto Naskh Arabic" w:hAnsi="Noto Naskh Arabic" w:cs="Noto Naskh Arabic" w:eastAsia="Noto Naskh Arabic"/>
                <w:color w:val="720800"/>
                <w:sz w:val="21"/>
              </w:rPr>
              <w:t>مع طفل أكبر أو مراهق: «لا أريد أن أستخدم دوري كأم لإغلاق الحديث. أريد أن أسمع أثر ما حدث عليك.»</w:t>
            </w:r>
          </w:p>
        </w:tc>
      </w:tr>
    </w:tbl>
    <w:p>
      <w:pPr>
        <w:spacing w:after="0"/>
      </w:pPr>
    </w:p>
    <w:p>
      <w:pPr>
        <w:spacing w:before="200" w:after="100" w:line="240" w:lineRule="auto"/>
        <w:jc w:val="right"/>
        <w:pStyle w:val="Heading2"/>
        <w:keepNext/>
        <w:bidi w:val="1"/>
        <w:pBdr>
          <w:right w:val="single" w:sz="18" w:space="7" w:color="B79B72"/>
        </w:pBdr>
      </w:pPr>
      <w:r>
        <w:rPr>
          <w:rFonts w:ascii="Noto Sans Arabic" w:hAnsi="Noto Sans Arabic" w:cs="Noto Sans Arabic" w:eastAsia="Noto Sans Arabic"/>
          <w:b/>
          <w:color w:val="720800"/>
          <w:sz w:val="29"/>
        </w:rPr>
        <w:t>أخطاء شائعة تُفشل الإصلاح</w:t>
      </w:r>
    </w:p>
    <w:p>
      <w:pPr>
        <w:spacing w:after="80"/>
        <w:ind w:left="85" w:right="85"/>
        <w:jc w:val="right"/>
        <w:bidi w:val="1"/>
      </w:pPr>
      <w:r>
        <w:rPr>
          <w:rFonts w:ascii="Noto Sans Arabic" w:hAnsi="Noto Sans Arabic" w:cs="Noto Sans Arabic" w:eastAsia="Noto Sans Arabic"/>
          <w:b/>
          <w:color w:val="B79B72"/>
          <w:sz w:val="23"/>
        </w:rPr>
        <w:t xml:space="preserve">• </w:t>
      </w:r>
      <w:r>
        <w:rPr>
          <w:rFonts w:ascii="Noto Naskh Arabic" w:hAnsi="Noto Naskh Arabic" w:cs="Noto Naskh Arabic" w:eastAsia="Noto Naskh Arabic"/>
          <w:color w:val="4B3B35"/>
          <w:sz w:val="23"/>
        </w:rPr>
        <w:t>قول: «أنا آسفة، لكنك أنت السبب».</w:t>
      </w:r>
    </w:p>
    <w:p>
      <w:pPr>
        <w:spacing w:after="80"/>
        <w:ind w:left="85" w:right="85"/>
        <w:jc w:val="right"/>
        <w:bidi w:val="1"/>
      </w:pPr>
      <w:r>
        <w:rPr>
          <w:rFonts w:ascii="Noto Sans Arabic" w:hAnsi="Noto Sans Arabic" w:cs="Noto Sans Arabic" w:eastAsia="Noto Sans Arabic"/>
          <w:b/>
          <w:color w:val="B79B72"/>
          <w:sz w:val="23"/>
        </w:rPr>
        <w:t xml:space="preserve">• </w:t>
      </w:r>
      <w:r>
        <w:rPr>
          <w:rFonts w:ascii="Noto Naskh Arabic" w:hAnsi="Noto Naskh Arabic" w:cs="Noto Naskh Arabic" w:eastAsia="Noto Naskh Arabic"/>
          <w:color w:val="4B3B35"/>
          <w:sz w:val="23"/>
        </w:rPr>
        <w:t>تحويل الاعتذار إلى انهيار يضطر الطفل إلى مواساة الأم.</w:t>
      </w:r>
    </w:p>
    <w:p>
      <w:pPr>
        <w:spacing w:after="80"/>
        <w:ind w:left="85" w:right="85"/>
        <w:jc w:val="right"/>
        <w:bidi w:val="1"/>
      </w:pPr>
      <w:r>
        <w:rPr>
          <w:rFonts w:ascii="Noto Sans Arabic" w:hAnsi="Noto Sans Arabic" w:cs="Noto Sans Arabic" w:eastAsia="Noto Sans Arabic"/>
          <w:b/>
          <w:color w:val="B79B72"/>
          <w:sz w:val="23"/>
        </w:rPr>
        <w:t xml:space="preserve">• </w:t>
      </w:r>
      <w:r>
        <w:rPr>
          <w:rFonts w:ascii="Noto Naskh Arabic" w:hAnsi="Noto Naskh Arabic" w:cs="Noto Naskh Arabic" w:eastAsia="Noto Naskh Arabic"/>
          <w:color w:val="4B3B35"/>
          <w:sz w:val="23"/>
        </w:rPr>
        <w:t>شراء هدية بدل الحديث وتحمل المسؤولية.</w:t>
      </w:r>
    </w:p>
    <w:p>
      <w:pPr>
        <w:spacing w:after="80"/>
        <w:ind w:left="85" w:right="85"/>
        <w:jc w:val="right"/>
        <w:bidi w:val="1"/>
      </w:pPr>
      <w:r>
        <w:rPr>
          <w:rFonts w:ascii="Noto Sans Arabic" w:hAnsi="Noto Sans Arabic" w:cs="Noto Sans Arabic" w:eastAsia="Noto Sans Arabic"/>
          <w:b/>
          <w:color w:val="B79B72"/>
          <w:sz w:val="23"/>
        </w:rPr>
        <w:t xml:space="preserve">• </w:t>
      </w:r>
      <w:r>
        <w:rPr>
          <w:rFonts w:ascii="Noto Naskh Arabic" w:hAnsi="Noto Naskh Arabic" w:cs="Noto Naskh Arabic" w:eastAsia="Noto Naskh Arabic"/>
          <w:color w:val="4B3B35"/>
          <w:sz w:val="23"/>
        </w:rPr>
        <w:t>إجبار الطفل على المسامحة أو الحضن.</w:t>
      </w:r>
    </w:p>
    <w:p>
      <w:pPr>
        <w:spacing w:after="80"/>
        <w:ind w:left="85" w:right="85"/>
        <w:jc w:val="right"/>
        <w:bidi w:val="1"/>
      </w:pPr>
      <w:r>
        <w:rPr>
          <w:rFonts w:ascii="Noto Sans Arabic" w:hAnsi="Noto Sans Arabic" w:cs="Noto Sans Arabic" w:eastAsia="Noto Sans Arabic"/>
          <w:b/>
          <w:color w:val="B79B72"/>
          <w:sz w:val="23"/>
        </w:rPr>
        <w:t xml:space="preserve">• </w:t>
      </w:r>
      <w:r>
        <w:rPr>
          <w:rFonts w:ascii="Noto Naskh Arabic" w:hAnsi="Noto Naskh Arabic" w:cs="Noto Naskh Arabic" w:eastAsia="Noto Naskh Arabic"/>
          <w:color w:val="4B3B35"/>
          <w:sz w:val="23"/>
        </w:rPr>
        <w:t>إلغاء الحد الصحيح خوفًا من أن يبدو الاعتذار ضعيفًا.</w:t>
      </w:r>
    </w:p>
    <w:p>
      <w:pPr>
        <w:spacing w:after="80"/>
        <w:ind w:left="85" w:right="85"/>
        <w:jc w:val="right"/>
        <w:bidi w:val="1"/>
      </w:pPr>
      <w:r>
        <w:rPr>
          <w:rFonts w:ascii="Noto Sans Arabic" w:hAnsi="Noto Sans Arabic" w:cs="Noto Sans Arabic" w:eastAsia="Noto Sans Arabic"/>
          <w:b/>
          <w:color w:val="B79B72"/>
          <w:sz w:val="23"/>
        </w:rPr>
        <w:t xml:space="preserve">• </w:t>
      </w:r>
      <w:r>
        <w:rPr>
          <w:rFonts w:ascii="Noto Naskh Arabic" w:hAnsi="Noto Naskh Arabic" w:cs="Noto Naskh Arabic" w:eastAsia="Noto Naskh Arabic"/>
          <w:color w:val="4B3B35"/>
          <w:sz w:val="23"/>
        </w:rPr>
        <w:t>تكرار الاعتذار نفسه من دون خطة واضحة لتغيير السلوك.</w:t>
      </w:r>
    </w:p>
    <w:p>
      <w:pPr>
        <w:spacing w:before="200" w:after="100" w:line="240" w:lineRule="auto"/>
        <w:jc w:val="right"/>
        <w:pStyle w:val="Heading2"/>
        <w:keepNext/>
        <w:bidi w:val="1"/>
        <w:pBdr>
          <w:right w:val="single" w:sz="18" w:space="7" w:color="B79B72"/>
        </w:pBdr>
      </w:pPr>
      <w:r>
        <w:rPr>
          <w:rFonts w:ascii="Noto Sans Arabic" w:hAnsi="Noto Sans Arabic" w:cs="Noto Sans Arabic" w:eastAsia="Noto Sans Arabic"/>
          <w:b/>
          <w:color w:val="720800"/>
          <w:sz w:val="29"/>
        </w:rPr>
        <w:t>ماذا لو رفض الطفل الاعتذار أو قال: «لا أصدقك»؟</w:t>
      </w:r>
    </w:p>
    <w:p>
      <w:pPr>
        <w:spacing w:after="120" w:line="307" w:lineRule="auto"/>
        <w:jc w:val="right"/>
        <w:bidi w:val="1"/>
      </w:pPr>
      <w:r>
        <w:rPr>
          <w:rFonts w:ascii="Noto Naskh Arabic" w:hAnsi="Noto Naskh Arabic" w:cs="Noto Naskh Arabic" w:eastAsia="Noto Naskh Arabic"/>
          <w:color w:val="4B3B35"/>
          <w:sz w:val="23"/>
        </w:rPr>
        <w:t>لا تدافعي عن نيتكِ ولا تطالبيه بالثقة فورًا. قولي: «أفهم أنك تحتاج أن ترى التغيير، وليس فقط أن تسمع كلامي». ثم اتركي الأيام التالية تحمل البرهان.</w:t>
      </w:r>
    </w:p>
    <w:p>
      <w:pPr>
        <w:spacing w:after="120" w:line="307" w:lineRule="auto"/>
        <w:jc w:val="right"/>
        <w:bidi w:val="1"/>
      </w:pPr>
      <w:r>
        <w:rPr>
          <w:rFonts w:ascii="Noto Naskh Arabic" w:hAnsi="Noto Naskh Arabic" w:cs="Noto Naskh Arabic" w:eastAsia="Noto Naskh Arabic"/>
          <w:color w:val="4B3B35"/>
          <w:sz w:val="23"/>
        </w:rPr>
        <w:t>رفض الطفل لا يعني أن الإصلاح فشل؛ قد يعني أن الأثر متكرر أو أن الطفل يحمي نفسه. الثقة تُستعاد عندما يرى فرقًا ثابتًا في الصوت والتوقيت وطريقة وضع الحدود.</w:t>
      </w:r>
    </w:p>
    <w:p>
      <w:pPr>
        <w:spacing w:before="200" w:after="100" w:line="240" w:lineRule="auto"/>
        <w:jc w:val="right"/>
        <w:pStyle w:val="Heading2"/>
        <w:keepNext/>
        <w:bidi w:val="1"/>
        <w:pBdr>
          <w:right w:val="single" w:sz="18" w:space="7" w:color="B79B72"/>
        </w:pBdr>
      </w:pPr>
      <w:r>
        <w:rPr>
          <w:rFonts w:ascii="Noto Sans Arabic" w:hAnsi="Noto Sans Arabic" w:cs="Noto Sans Arabic" w:eastAsia="Noto Sans Arabic"/>
          <w:b/>
          <w:color w:val="720800"/>
          <w:sz w:val="29"/>
        </w:rPr>
        <w:t>متى نطلب دعمًا متخصصًا؟</w:t>
      </w:r>
    </w:p>
    <w:p>
      <w:pPr>
        <w:spacing w:after="120" w:line="307" w:lineRule="auto"/>
        <w:jc w:val="right"/>
        <w:bidi w:val="1"/>
      </w:pPr>
      <w:r>
        <w:rPr>
          <w:rFonts w:ascii="Noto Naskh Arabic" w:hAnsi="Noto Naskh Arabic" w:cs="Noto Naskh Arabic" w:eastAsia="Noto Naskh Arabic"/>
          <w:color w:val="4B3B35"/>
          <w:sz w:val="23"/>
        </w:rPr>
        <w:t>إذا كان الصراخ أو الإهانة أو الضرب يتكرر، أو إذا كان الطفل يظهر خوفًا أو أعراضًا نفسية واضحة، أو إذا كنتِ تشعرين أنكِ قد تفقدين السيطرة، فالأفضل طلب دعم مختص يساعدكِ على بناء خطة حماية وإصلاح أعمق.</w:t>
      </w:r>
    </w:p>
    <w:p>
      <w:pPr>
        <w:spacing w:after="120" w:line="307" w:lineRule="auto"/>
        <w:jc w:val="right"/>
        <w:bidi w:val="1"/>
      </w:pPr>
      <w:r>
        <w:rPr>
          <w:rFonts w:ascii="Noto Naskh Arabic" w:hAnsi="Noto Naskh Arabic" w:cs="Noto Naskh Arabic" w:eastAsia="Noto Naskh Arabic"/>
          <w:color w:val="4B3B35"/>
          <w:sz w:val="23"/>
        </w:rPr>
        <w:t>الاعتذار مهم، لكنه لا يكفي وحده عندما يستمر الأذى. سلامة الطفل والوالد تحتاج أحيانًا إلى تدخل مهني مباشر.</w:t>
      </w:r>
    </w:p>
    <w:p>
      <w:pPr>
        <w:spacing w:before="200" w:after="100" w:line="240" w:lineRule="auto"/>
        <w:jc w:val="right"/>
        <w:pStyle w:val="Heading2"/>
        <w:keepNext/>
        <w:bidi w:val="1"/>
        <w:pBdr>
          <w:right w:val="single" w:sz="18" w:space="7" w:color="B79B72"/>
        </w:pBdr>
      </w:pPr>
      <w:r>
        <w:rPr>
          <w:rFonts w:ascii="Noto Sans Arabic" w:hAnsi="Noto Sans Arabic" w:cs="Noto Sans Arabic" w:eastAsia="Noto Sans Arabic"/>
          <w:b/>
          <w:color w:val="720800"/>
          <w:sz w:val="29"/>
        </w:rPr>
        <w:t>حمّلي التطبيق وأصلحي موقفًا واحدًا</w:t>
      </w:r>
    </w:p>
    <w:p>
      <w:pPr>
        <w:spacing w:after="120" w:line="307" w:lineRule="auto"/>
        <w:jc w:val="right"/>
        <w:bidi w:val="1"/>
      </w:pPr>
      <w:r>
        <w:rPr>
          <w:rFonts w:ascii="Noto Naskh Arabic" w:hAnsi="Noto Naskh Arabic" w:cs="Noto Naskh Arabic" w:eastAsia="Noto Naskh Arabic"/>
          <w:color w:val="4B3B35"/>
          <w:sz w:val="23"/>
        </w:rPr>
        <w:t>حمّلي تطبيق «إصلاح العلاقة بعد الصراخ والخلاف»، واختاري موقفًا واحدًا فقط. اكتبي ما فعلتِه بدقة، وما الحد الذي سيبقى، ثم جهزي جملة اعتذار قصيرة وخطوة سلوكية تثبت التغيير.</w:t>
      </w:r>
    </w:p>
    <w:p>
      <w:pPr>
        <w:spacing w:after="120" w:line="307" w:lineRule="auto"/>
        <w:jc w:val="right"/>
        <w:bidi w:val="1"/>
      </w:pPr>
      <w:r>
        <w:rPr>
          <w:rFonts w:ascii="Noto Naskh Arabic" w:hAnsi="Noto Naskh Arabic" w:cs="Noto Naskh Arabic" w:eastAsia="Noto Naskh Arabic"/>
          <w:color w:val="4B3B35"/>
          <w:sz w:val="23"/>
        </w:rPr>
        <w:t>لا تنتظري اعتذارًا مثاليًا. عودة صادقة، واضحة، وفي وقت قريب أفضل من صمت طويل يزيد المسافة بينكِ وبين طفلكِ.</w:t>
      </w:r>
    </w:p>
    <w:tbl>
      <w:tblPr>
        <w:tblW w:type="auto" w:w="0"/>
        <w:jc w:val="center"/>
        <w:tblLook w:firstColumn="1" w:firstRow="1" w:lastColumn="0" w:lastRow="0" w:noHBand="0" w:noVBand="1" w:val="04A0"/>
        <w:tblBorders>
          <w:top w:val="single" w:sz="5" w:space="0" w:color="720800"/>
          <w:left w:val="single" w:sz="5" w:space="0" w:color="720800"/>
          <w:bottom w:val="single" w:sz="5" w:space="0" w:color="720800"/>
          <w:right w:val="single" w:sz="5" w:space="0" w:color="720800"/>
        </w:tblBorders>
      </w:tblPr>
      <w:tblGrid>
        <w:gridCol w:w="9866"/>
      </w:tblGrid>
      <w:tr>
        <w:tc>
          <w:tcPr>
            <w:tcW w:type="dxa" w:w="9866"/>
            <w:shd w:fill="F3EADD"/>
            <w:tcMar>
              <w:top w:w="180" w:type="dxa"/>
              <w:start w:w="210" w:type="dxa"/>
              <w:bottom w:w="180" w:type="dxa"/>
              <w:end w:w="210" w:type="dxa"/>
            </w:tcMar>
          </w:tcPr>
          <w:p>
            <w:pPr>
              <w:jc w:val="right"/>
              <w:bidi w:val="1"/>
            </w:pPr>
            <w:r>
              <w:rPr>
                <w:rFonts w:ascii="Noto Sans Arabic" w:hAnsi="Noto Sans Arabic" w:cs="Noto Sans Arabic" w:eastAsia="Noto Sans Arabic"/>
                <w:b/>
                <w:color w:val="720800"/>
                <w:sz w:val="26"/>
              </w:rPr>
              <w:t>التطبيق العملي المرفق مع هذا المقال</w:t>
            </w:r>
          </w:p>
          <w:p>
            <w:pPr>
              <w:spacing w:after="60"/>
              <w:jc w:val="right"/>
              <w:bidi w:val="1"/>
            </w:pPr>
            <w:r>
              <w:rPr>
                <w:rFonts w:ascii="Noto Naskh Arabic" w:hAnsi="Noto Naskh Arabic" w:cs="Noto Naskh Arabic" w:eastAsia="Noto Naskh Arabic"/>
                <w:color w:val="4B3B35"/>
                <w:sz w:val="22"/>
              </w:rPr>
              <w:t>إصلاح العلاقة بعد الصراخ والخلاف</w:t>
            </w:r>
          </w:p>
          <w:p>
            <w:pPr>
              <w:spacing w:after="60"/>
              <w:jc w:val="right"/>
              <w:bidi w:val="1"/>
            </w:pPr>
            <w:r>
              <w:rPr>
                <w:rFonts w:ascii="Noto Naskh Arabic" w:hAnsi="Noto Naskh Arabic" w:cs="Noto Naskh Arabic" w:eastAsia="Noto Naskh Arabic"/>
                <w:color w:val="4B3B35"/>
                <w:sz w:val="22"/>
              </w:rPr>
              <w:t>أضيفي في صفحة الموقع زر التحميل المرتبط بملف التطبيق العملي داخل الحزمة.</w:t>
            </w:r>
          </w:p>
        </w:tc>
      </w:tr>
    </w:tbl>
    <w:p>
      <w:pPr>
        <w:spacing w:before="160"/>
        <w:jc w:val="right"/>
        <w:bidi w:val="1"/>
      </w:pPr>
      <w:r>
        <w:rPr>
          <w:rFonts w:ascii="Noto Naskh Arabic" w:hAnsi="Noto Naskh Arabic" w:cs="Noto Naskh Arabic" w:eastAsia="Noto Naskh Arabic"/>
          <w:color w:val="7B6B64"/>
          <w:sz w:val="18"/>
        </w:rPr>
        <w:t>ملاحظة مهنية: هذا المورد تثقيفي وتربوي، ولا يغني عن استشارة مختص عند وجود أعراض شديدة أو مستمرة أو مؤثرة على سلامة الطفل والأسرة.</w:t>
      </w:r>
    </w:p>
    <w:sectPr w:rsidR="00FC693F" w:rsidRPr="0006063C" w:rsidSect="00034616">
      <w:headerReference w:type="default" r:id="rId9"/>
      <w:footerReference w:type="default" r:id="rId10"/>
      <w:pgSz w:w="11906" w:h="16838"/>
      <w:pgMar w:top="964" w:right="1020" w:bottom="907" w:left="1020" w:header="397"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40"/>
      <w:jc w:val="center"/>
      <w:bidi w:val="1"/>
    </w:pPr>
    <w:r>
      <w:rPr>
        <w:rFonts w:ascii="Noto Sans Arabic" w:hAnsi="Noto Sans Arabic" w:cs="Noto Sans Arabic" w:eastAsia="Noto Sans Arabic"/>
        <w:color w:val="7B6B64"/>
        <w:sz w:val="16"/>
      </w:rPr>
      <w:t xml:space="preserve">أكاديمية عبير حمصي -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Noto Sans Arabic" w:hAnsi="Noto Sans Arabic" w:cs="Noto Sans Arabic" w:eastAsia="Noto Sans Arabic"/>
        <w:b/>
        <w:color w:val="720800"/>
        <w:sz w:val="17"/>
      </w:rPr>
      <w:t>أكاديمية عبير حمصي</w:t>
    </w:r>
    <w:r>
      <w:t xml:space="preserve">            </w:t>
    </w:r>
    <w:r>
      <w:rPr>
        <w:rFonts w:ascii="Noto Sans Arabic" w:hAnsi="Noto Sans Arabic" w:cs="Noto Sans Arabic" w:eastAsia="Noto Sans Arabic"/>
        <w:color w:val="7B6B64"/>
        <w:sz w:val="17"/>
      </w:rPr>
      <w:t>مقال تربوي عملي</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7" w:lineRule="auto"/>
    </w:pPr>
    <w:rPr>
      <w:rFonts w:ascii="Noto Naskh Arabic" w:hAnsi="Noto Naskh Arabic" w:cs="Noto Naskh Arabic"/>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